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B91925">
              <w:rPr>
                <w:rFonts w:asciiTheme="minorHAnsi" w:hAnsiTheme="minorHAnsi"/>
                <w:b/>
                <w:sz w:val="44"/>
                <w:szCs w:val="40"/>
              </w:rPr>
              <w:t>Year 5</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514076" w:rsidRPr="00514076" w:rsidRDefault="00B91925" w:rsidP="00B91925">
            <w:pPr>
              <w:spacing w:after="0" w:line="240" w:lineRule="auto"/>
              <w:rPr>
                <w:sz w:val="28"/>
              </w:rPr>
            </w:pPr>
            <w:r w:rsidRPr="00514076">
              <w:rPr>
                <w:sz w:val="28"/>
              </w:rPr>
              <w:t xml:space="preserve">• Know that a personality is made up of many different characteristics, qualities and attributes </w:t>
            </w:r>
          </w:p>
          <w:p w:rsidR="00514076" w:rsidRPr="00514076" w:rsidRDefault="00B91925" w:rsidP="00B91925">
            <w:pPr>
              <w:spacing w:after="0" w:line="240" w:lineRule="auto"/>
              <w:rPr>
                <w:sz w:val="28"/>
              </w:rPr>
            </w:pPr>
            <w:r w:rsidRPr="00514076">
              <w:rPr>
                <w:sz w:val="28"/>
              </w:rPr>
              <w:t xml:space="preserve">• Know that belonging to an online community can have positive and negative consequences </w:t>
            </w:r>
          </w:p>
          <w:p w:rsidR="00514076" w:rsidRPr="00514076" w:rsidRDefault="00B91925" w:rsidP="00B91925">
            <w:pPr>
              <w:spacing w:after="0" w:line="240" w:lineRule="auto"/>
              <w:rPr>
                <w:sz w:val="28"/>
              </w:rPr>
            </w:pPr>
            <w:r w:rsidRPr="00514076">
              <w:rPr>
                <w:sz w:val="28"/>
              </w:rPr>
              <w:t xml:space="preserve">• Know that there are rights and responsibilities in an online community or social network </w:t>
            </w:r>
          </w:p>
          <w:p w:rsidR="00514076" w:rsidRPr="00514076" w:rsidRDefault="00B91925" w:rsidP="00B91925">
            <w:pPr>
              <w:spacing w:after="0" w:line="240" w:lineRule="auto"/>
              <w:rPr>
                <w:sz w:val="28"/>
              </w:rPr>
            </w:pPr>
            <w:r w:rsidRPr="00514076">
              <w:rPr>
                <w:sz w:val="28"/>
              </w:rPr>
              <w:t xml:space="preserve">• Know that there are rights and responsibilities when playing a game online </w:t>
            </w:r>
          </w:p>
          <w:p w:rsidR="00514076" w:rsidRPr="00514076" w:rsidRDefault="00B91925" w:rsidP="00B91925">
            <w:pPr>
              <w:spacing w:after="0" w:line="240" w:lineRule="auto"/>
              <w:rPr>
                <w:sz w:val="28"/>
              </w:rPr>
            </w:pPr>
            <w:r w:rsidRPr="00514076">
              <w:rPr>
                <w:sz w:val="28"/>
              </w:rPr>
              <w:t>• Know that too much screen time isn’t hea</w:t>
            </w:r>
            <w:bookmarkStart w:id="0" w:name="_GoBack"/>
            <w:bookmarkEnd w:id="0"/>
            <w:r w:rsidRPr="00514076">
              <w:rPr>
                <w:sz w:val="28"/>
              </w:rPr>
              <w:t xml:space="preserve">lthy </w:t>
            </w:r>
          </w:p>
          <w:p w:rsidR="00334BE6" w:rsidRPr="00514076" w:rsidRDefault="00B91925" w:rsidP="00CE1F54">
            <w:pPr>
              <w:spacing w:after="0" w:line="240" w:lineRule="auto"/>
              <w:rPr>
                <w:noProof/>
                <w:sz w:val="36"/>
                <w:szCs w:val="26"/>
              </w:rPr>
            </w:pPr>
            <w:r w:rsidRPr="00514076">
              <w:rPr>
                <w:sz w:val="28"/>
              </w:rPr>
              <w:t>• Know how to stay safe when using technology to communicate with friends</w:t>
            </w:r>
          </w:p>
        </w:tc>
        <w:tc>
          <w:tcPr>
            <w:tcW w:w="7650" w:type="dxa"/>
          </w:tcPr>
          <w:p w:rsidR="00514076" w:rsidRPr="00514076" w:rsidRDefault="00514076" w:rsidP="00137E73">
            <w:pPr>
              <w:spacing w:after="0"/>
              <w:rPr>
                <w:sz w:val="28"/>
              </w:rPr>
            </w:pPr>
            <w:r w:rsidRPr="00514076">
              <w:rPr>
                <w:sz w:val="28"/>
              </w:rPr>
              <w:t xml:space="preserve">• Can suggest strategies for building </w:t>
            </w:r>
            <w:proofErr w:type="spellStart"/>
            <w:r w:rsidRPr="00514076">
              <w:rPr>
                <w:sz w:val="28"/>
              </w:rPr>
              <w:t>selfesteem</w:t>
            </w:r>
            <w:proofErr w:type="spellEnd"/>
            <w:r w:rsidRPr="00514076">
              <w:rPr>
                <w:sz w:val="28"/>
              </w:rPr>
              <w:t xml:space="preserve"> of themselves and others </w:t>
            </w:r>
          </w:p>
          <w:p w:rsidR="00514076" w:rsidRPr="00514076" w:rsidRDefault="00514076" w:rsidP="00137E73">
            <w:pPr>
              <w:spacing w:after="0"/>
              <w:rPr>
                <w:sz w:val="28"/>
              </w:rPr>
            </w:pPr>
            <w:r w:rsidRPr="00514076">
              <w:rPr>
                <w:sz w:val="28"/>
              </w:rPr>
              <w:t xml:space="preserve">• Can identify when an online community / social media group feels risky, uncomfortable, or unsafe </w:t>
            </w:r>
          </w:p>
          <w:p w:rsidR="00514076" w:rsidRPr="00514076" w:rsidRDefault="00514076" w:rsidP="00137E73">
            <w:pPr>
              <w:spacing w:after="0"/>
              <w:rPr>
                <w:sz w:val="28"/>
              </w:rPr>
            </w:pPr>
            <w:r w:rsidRPr="00514076">
              <w:rPr>
                <w:sz w:val="28"/>
              </w:rPr>
              <w:t xml:space="preserve">• Can suggest strategies for staying safe online/ social media </w:t>
            </w:r>
          </w:p>
          <w:p w:rsidR="00514076" w:rsidRPr="00514076" w:rsidRDefault="00514076" w:rsidP="00137E73">
            <w:pPr>
              <w:spacing w:after="0"/>
              <w:rPr>
                <w:sz w:val="28"/>
              </w:rPr>
            </w:pPr>
            <w:r w:rsidRPr="00514076">
              <w:rPr>
                <w:sz w:val="28"/>
              </w:rPr>
              <w:t xml:space="preserve">• Can say how to report unsafe online / social network activity </w:t>
            </w:r>
          </w:p>
          <w:p w:rsidR="00514076" w:rsidRPr="00514076" w:rsidRDefault="00514076" w:rsidP="00137E73">
            <w:pPr>
              <w:spacing w:after="0"/>
              <w:rPr>
                <w:sz w:val="28"/>
              </w:rPr>
            </w:pPr>
            <w:r w:rsidRPr="00514076">
              <w:rPr>
                <w:sz w:val="28"/>
              </w:rPr>
              <w:t xml:space="preserve">• Can identify when an online game is safe or unsafe </w:t>
            </w:r>
          </w:p>
          <w:p w:rsidR="00514076" w:rsidRPr="00514076" w:rsidRDefault="00514076" w:rsidP="00137E73">
            <w:pPr>
              <w:spacing w:after="0"/>
              <w:rPr>
                <w:sz w:val="28"/>
              </w:rPr>
            </w:pPr>
            <w:r w:rsidRPr="00514076">
              <w:rPr>
                <w:sz w:val="28"/>
              </w:rPr>
              <w:t xml:space="preserve">• Can suggest ways to monitor and reduce screen time </w:t>
            </w:r>
          </w:p>
          <w:p w:rsidR="00334BE6" w:rsidRPr="009A32C8" w:rsidRDefault="00514076" w:rsidP="00137E73">
            <w:pPr>
              <w:spacing w:after="0"/>
              <w:rPr>
                <w:noProof/>
                <w:sz w:val="26"/>
                <w:szCs w:val="26"/>
              </w:rPr>
            </w:pPr>
            <w:r w:rsidRPr="00514076">
              <w:rPr>
                <w:sz w:val="28"/>
              </w:rPr>
              <w:t>• Can suggest strategies for managing unhelpful pressures online or in social networks</w:t>
            </w:r>
          </w:p>
        </w:tc>
      </w:tr>
      <w:tr w:rsidR="001C3E17" w:rsidRPr="00BD6628" w:rsidTr="00334BE6">
        <w:tc>
          <w:tcPr>
            <w:tcW w:w="15583" w:type="dxa"/>
            <w:gridSpan w:val="2"/>
            <w:shd w:val="clear" w:color="auto" w:fill="B50B9D"/>
          </w:tcPr>
          <w:p w:rsidR="001C3E17" w:rsidRPr="009A32C8" w:rsidRDefault="00514076" w:rsidP="00F31814">
            <w:pPr>
              <w:spacing w:after="0" w:line="240" w:lineRule="auto"/>
              <w:rPr>
                <w:noProof/>
                <w:color w:val="FFFFFF" w:themeColor="background1"/>
                <w:sz w:val="32"/>
              </w:rPr>
            </w:pPr>
            <w:r w:rsidRPr="00514076">
              <w:rPr>
                <w:color w:val="FFFFFF" w:themeColor="background1"/>
              </w:rPr>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 social media contexts including gaming and social networking. They learn about age -limits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514076" w:rsidP="00334BE6">
            <w:pPr>
              <w:rPr>
                <w:color w:val="FFFFFF" w:themeColor="background1"/>
                <w:sz w:val="44"/>
              </w:rPr>
            </w:pPr>
            <w:r w:rsidRPr="00514076">
              <w:rPr>
                <w:color w:val="FFFFFF" w:themeColor="background1"/>
                <w:sz w:val="32"/>
              </w:rPr>
              <w:t>Personal attributes, Qualities, Characteristics, Self-esteem, Unique, Comparison, Negative self-talk, Social media, Online, Community, Risky, Positive, Negative, Safe, Unsafe, Rights, Responsibilities, Social network, Gaming, Violence, Grooming, Troll, Gambling, Betting, Trustworthy, Appropriate, Screen time, Physical health, Mental health, Off-line, Social, Peer pressure, Influences, Personal information, Passwords, Privacy, Settings, Profile, SMARRT rules.</w:t>
            </w: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14076"/>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91925"/>
    <w:rsid w:val="00BD6628"/>
    <w:rsid w:val="00BE4FB7"/>
    <w:rsid w:val="00C1644D"/>
    <w:rsid w:val="00CE1F54"/>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2021-04-03T19:52:00Z</dcterms:created>
  <dcterms:modified xsi:type="dcterms:W3CDTF">2021-04-03T19:52:00Z</dcterms:modified>
</cp:coreProperties>
</file>