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9A501A" w:rsidP="009A501A">
            <w:pPr>
              <w:tabs>
                <w:tab w:val="center" w:pos="2713"/>
                <w:tab w:val="center" w:pos="6819"/>
                <w:tab w:val="left" w:pos="12123"/>
              </w:tabs>
              <w:rPr>
                <w:rFonts w:asciiTheme="minorHAnsi" w:hAnsiTheme="minorHAnsi"/>
                <w:b/>
                <w:sz w:val="40"/>
                <w:szCs w:val="40"/>
              </w:rPr>
            </w:pPr>
            <w:r>
              <w:rPr>
                <w:rFonts w:asciiTheme="minorHAnsi" w:hAnsiTheme="minorHAnsi"/>
                <w:b/>
                <w:sz w:val="44"/>
                <w:szCs w:val="40"/>
              </w:rPr>
              <w:t xml:space="preserve">                                                 </w:t>
            </w:r>
            <w:bookmarkStart w:id="0" w:name="_GoBack"/>
            <w:bookmarkEnd w:id="0"/>
            <w:r w:rsidR="00137E73">
              <w:rPr>
                <w:rFonts w:asciiTheme="minorHAnsi" w:hAnsiTheme="minorHAnsi"/>
                <w:b/>
                <w:sz w:val="44"/>
                <w:szCs w:val="40"/>
              </w:rPr>
              <w:t>EYFS</w:t>
            </w:r>
            <w:r w:rsidR="001B3696" w:rsidRPr="001C3E17">
              <w:rPr>
                <w:rFonts w:asciiTheme="minorHAnsi" w:hAnsiTheme="minorHAnsi"/>
                <w:b/>
                <w:sz w:val="44"/>
                <w:szCs w:val="40"/>
              </w:rPr>
              <w:t xml:space="preserve">  </w:t>
            </w:r>
            <w:r>
              <w:rPr>
                <w:rFonts w:asciiTheme="minorHAnsi" w:hAnsiTheme="minorHAnsi"/>
                <w:b/>
                <w:sz w:val="44"/>
                <w:szCs w:val="40"/>
              </w:rPr>
              <w:t>Puzzle 1 Being Me in My World</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9A501A" w:rsidRPr="009A501A" w:rsidRDefault="009A501A" w:rsidP="009A501A">
            <w:pPr>
              <w:autoSpaceDE w:val="0"/>
              <w:autoSpaceDN w:val="0"/>
              <w:adjustRightInd w:val="0"/>
              <w:spacing w:after="0" w:line="360" w:lineRule="auto"/>
              <w:rPr>
                <w:rFonts w:ascii="MPQAV Y+ Arial MT" w:eastAsiaTheme="minorHAnsi" w:hAnsi="MPQAV Y+ Arial MT" w:cs="MPQAV Y+ Arial MT"/>
                <w:sz w:val="24"/>
                <w:szCs w:val="24"/>
                <w:lang w:eastAsia="en-US"/>
              </w:rPr>
            </w:pPr>
          </w:p>
          <w:tbl>
            <w:tblPr>
              <w:tblW w:w="0" w:type="auto"/>
              <w:tblBorders>
                <w:top w:val="nil"/>
                <w:left w:val="nil"/>
                <w:bottom w:val="nil"/>
                <w:right w:val="nil"/>
              </w:tblBorders>
              <w:tblLook w:val="0000" w:firstRow="0" w:lastRow="0" w:firstColumn="0" w:lastColumn="0" w:noHBand="0" w:noVBand="0"/>
            </w:tblPr>
            <w:tblGrid>
              <w:gridCol w:w="7114"/>
            </w:tblGrid>
            <w:tr w:rsidR="009A501A" w:rsidRPr="009A501A">
              <w:tblPrEx>
                <w:tblCellMar>
                  <w:top w:w="0" w:type="dxa"/>
                  <w:bottom w:w="0" w:type="dxa"/>
                </w:tblCellMar>
              </w:tblPrEx>
              <w:trPr>
                <w:trHeight w:val="1216"/>
              </w:trPr>
              <w:tc>
                <w:tcPr>
                  <w:tcW w:w="0" w:type="auto"/>
                </w:tcPr>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Know special things about themselves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Know that some people are different from themselves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Know how happiness and sadness can be expressed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Know that hands can be used kindly and unkindly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Know that being kind is good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Know they have a right to learn and play, safely and happily </w:t>
                  </w:r>
                </w:p>
              </w:tc>
            </w:tr>
          </w:tbl>
          <w:p w:rsidR="00334BE6" w:rsidRPr="009A501A" w:rsidRDefault="00334BE6" w:rsidP="009A501A">
            <w:pPr>
              <w:spacing w:after="0" w:line="360" w:lineRule="auto"/>
              <w:rPr>
                <w:noProof/>
                <w:sz w:val="24"/>
              </w:rPr>
            </w:pPr>
          </w:p>
        </w:tc>
        <w:tc>
          <w:tcPr>
            <w:tcW w:w="7650" w:type="dxa"/>
          </w:tcPr>
          <w:p w:rsidR="00334BE6" w:rsidRPr="009A501A" w:rsidRDefault="00334BE6" w:rsidP="009A501A">
            <w:pPr>
              <w:spacing w:after="0" w:line="360" w:lineRule="auto"/>
              <w:rPr>
                <w:noProof/>
                <w:sz w:val="24"/>
              </w:rPr>
            </w:pPr>
          </w:p>
          <w:tbl>
            <w:tblPr>
              <w:tblW w:w="0" w:type="auto"/>
              <w:tblBorders>
                <w:top w:val="nil"/>
                <w:left w:val="nil"/>
                <w:bottom w:val="nil"/>
                <w:right w:val="nil"/>
              </w:tblBorders>
              <w:tblLook w:val="0000" w:firstRow="0" w:lastRow="0" w:firstColumn="0" w:lastColumn="0" w:noHBand="0" w:noVBand="0"/>
            </w:tblPr>
            <w:tblGrid>
              <w:gridCol w:w="5300"/>
            </w:tblGrid>
            <w:tr w:rsidR="009A501A" w:rsidRPr="009A501A">
              <w:tblPrEx>
                <w:tblCellMar>
                  <w:top w:w="0" w:type="dxa"/>
                  <w:bottom w:w="0" w:type="dxa"/>
                </w:tblCellMar>
              </w:tblPrEx>
              <w:trPr>
                <w:trHeight w:val="689"/>
              </w:trPr>
              <w:tc>
                <w:tcPr>
                  <w:tcW w:w="0" w:type="auto"/>
                </w:tcPr>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Identify feelings associated with belonging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Identify feelings of happiness and sadness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Skills to play cooperatively with others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Be able to consider others’ feelings </w:t>
                  </w:r>
                </w:p>
                <w:p w:rsidR="009A501A" w:rsidRPr="009A501A" w:rsidRDefault="009A501A" w:rsidP="009A501A">
                  <w:pPr>
                    <w:pStyle w:val="ListParagraph"/>
                    <w:numPr>
                      <w:ilvl w:val="0"/>
                      <w:numId w:val="11"/>
                    </w:numPr>
                    <w:autoSpaceDE w:val="0"/>
                    <w:autoSpaceDN w:val="0"/>
                    <w:adjustRightInd w:val="0"/>
                    <w:spacing w:after="80" w:line="360" w:lineRule="auto"/>
                    <w:rPr>
                      <w:rFonts w:ascii="MPQAV Y+ Arial MT" w:eastAsiaTheme="minorHAnsi" w:hAnsi="MPQAV Y+ Arial MT" w:cs="MPQAV Y+ Arial MT"/>
                      <w:sz w:val="24"/>
                      <w:szCs w:val="18"/>
                      <w:lang w:eastAsia="en-US"/>
                    </w:rPr>
                  </w:pPr>
                  <w:r w:rsidRPr="009A501A">
                    <w:rPr>
                      <w:rFonts w:ascii="MPQAV Y+ Arial MT" w:eastAsiaTheme="minorHAnsi" w:hAnsi="MPQAV Y+ Arial MT" w:cs="MPQAV Y+ Arial MT"/>
                      <w:sz w:val="24"/>
                      <w:szCs w:val="18"/>
                      <w:lang w:eastAsia="en-US"/>
                    </w:rPr>
                    <w:t xml:space="preserve">Be responsible in the setting </w:t>
                  </w:r>
                </w:p>
              </w:tc>
            </w:tr>
          </w:tbl>
          <w:p w:rsidR="009A501A" w:rsidRPr="009A501A" w:rsidRDefault="009A501A" w:rsidP="009A501A">
            <w:pPr>
              <w:spacing w:after="0" w:line="360" w:lineRule="auto"/>
              <w:rPr>
                <w:noProof/>
                <w:sz w:val="24"/>
              </w:rPr>
            </w:pPr>
          </w:p>
        </w:tc>
      </w:tr>
      <w:tr w:rsidR="001C3E17" w:rsidRPr="00BD6628" w:rsidTr="00334BE6">
        <w:tc>
          <w:tcPr>
            <w:tcW w:w="15583" w:type="dxa"/>
            <w:gridSpan w:val="2"/>
            <w:shd w:val="clear" w:color="auto" w:fill="B50B9D"/>
          </w:tcPr>
          <w:p w:rsidR="009A501A" w:rsidRPr="009A501A" w:rsidRDefault="009A501A" w:rsidP="009A501A">
            <w:pPr>
              <w:autoSpaceDE w:val="0"/>
              <w:autoSpaceDN w:val="0"/>
              <w:adjustRightInd w:val="0"/>
              <w:spacing w:after="0" w:line="240" w:lineRule="auto"/>
              <w:rPr>
                <w:rFonts w:ascii="MPQAV Y+ Arial MT" w:eastAsiaTheme="minorHAnsi" w:hAnsi="MPQAV Y+ Arial MT" w:cs="MPQAV Y+ Arial MT"/>
                <w:color w:val="FFFFFF" w:themeColor="background1"/>
                <w:sz w:val="28"/>
                <w:szCs w:val="24"/>
                <w:lang w:eastAsia="en-US"/>
              </w:rPr>
            </w:pPr>
          </w:p>
          <w:tbl>
            <w:tblPr>
              <w:tblW w:w="0" w:type="auto"/>
              <w:tblBorders>
                <w:top w:val="nil"/>
                <w:left w:val="nil"/>
                <w:bottom w:val="nil"/>
                <w:right w:val="nil"/>
              </w:tblBorders>
              <w:tblLook w:val="0000" w:firstRow="0" w:lastRow="0" w:firstColumn="0" w:lastColumn="0" w:noHBand="0" w:noVBand="0"/>
            </w:tblPr>
            <w:tblGrid>
              <w:gridCol w:w="15367"/>
            </w:tblGrid>
            <w:tr w:rsidR="009A501A" w:rsidRPr="009A501A">
              <w:tblPrEx>
                <w:tblCellMar>
                  <w:top w:w="0" w:type="dxa"/>
                  <w:bottom w:w="0" w:type="dxa"/>
                </w:tblCellMar>
              </w:tblPrEx>
              <w:trPr>
                <w:trHeight w:val="404"/>
              </w:trPr>
              <w:tc>
                <w:tcPr>
                  <w:tcW w:w="0" w:type="auto"/>
                </w:tcPr>
                <w:p w:rsidR="009A501A" w:rsidRPr="009A501A" w:rsidRDefault="009A501A" w:rsidP="009A501A">
                  <w:pPr>
                    <w:autoSpaceDE w:val="0"/>
                    <w:autoSpaceDN w:val="0"/>
                    <w:adjustRightInd w:val="0"/>
                    <w:spacing w:after="80" w:line="241" w:lineRule="atLeast"/>
                    <w:rPr>
                      <w:rFonts w:ascii="MPQAV Y+ Arial MT" w:eastAsiaTheme="minorHAnsi" w:hAnsi="MPQAV Y+ Arial MT" w:cs="MPQAV Y+ Arial MT"/>
                      <w:color w:val="FFFFFF" w:themeColor="background1"/>
                      <w:sz w:val="28"/>
                      <w:szCs w:val="18"/>
                      <w:lang w:eastAsia="en-US"/>
                    </w:rPr>
                  </w:pPr>
                  <w:r w:rsidRPr="009A501A">
                    <w:rPr>
                      <w:rFonts w:ascii="MPQAV Y+ Arial MT" w:eastAsiaTheme="minorHAnsi" w:hAnsi="MPQAV Y+ Arial MT" w:cs="MPQAV Y+ Arial MT"/>
                      <w:color w:val="FFFFFF" w:themeColor="background1"/>
                      <w:sz w:val="28"/>
                      <w:szCs w:val="18"/>
                      <w:lang w:eastAsia="en-US"/>
                    </w:rPr>
                    <w:t xml:space="preserve">In this Puzzle (unit), the children talk about how they have similarities and differences from their friends and how that is OK. They begin working on recognising and managing their feelings, identifying different ones and the causes these can have. The children talk about working with others and why it is good to be kind and use gentle hands. They discuss children’s rights, especially linked to the right to learn and the right to play. The children talk about what it means to be responsible. </w:t>
                  </w:r>
                </w:p>
              </w:tc>
            </w:tr>
          </w:tbl>
          <w:p w:rsidR="001C3E17" w:rsidRPr="009A501A" w:rsidRDefault="001C3E17" w:rsidP="00334BE6">
            <w:pPr>
              <w:spacing w:after="0" w:line="240" w:lineRule="auto"/>
              <w:rPr>
                <w:noProof/>
                <w:color w:val="FFFFFF" w:themeColor="background1"/>
                <w:sz w:val="28"/>
              </w:rPr>
            </w:pPr>
          </w:p>
        </w:tc>
      </w:tr>
      <w:tr w:rsidR="0086332D" w:rsidRPr="0086332D" w:rsidTr="00334BE6">
        <w:tc>
          <w:tcPr>
            <w:tcW w:w="15583" w:type="dxa"/>
            <w:gridSpan w:val="2"/>
            <w:shd w:val="clear" w:color="auto" w:fill="0070C0"/>
          </w:tcPr>
          <w:p w:rsidR="00552033" w:rsidRDefault="009A501A" w:rsidP="00334BE6">
            <w:pPr>
              <w:rPr>
                <w:noProof/>
                <w:color w:val="FFFFFF" w:themeColor="background1"/>
                <w:sz w:val="52"/>
              </w:rPr>
            </w:pPr>
            <w:r w:rsidRPr="009A501A">
              <w:rPr>
                <w:noProof/>
                <w:color w:val="FFFFFF" w:themeColor="background1"/>
                <w:sz w:val="52"/>
              </w:rPr>
              <w:t>Vocabulary:</w:t>
            </w:r>
          </w:p>
          <w:tbl>
            <w:tblPr>
              <w:tblW w:w="0" w:type="auto"/>
              <w:tblBorders>
                <w:top w:val="nil"/>
                <w:left w:val="nil"/>
                <w:bottom w:val="nil"/>
                <w:right w:val="nil"/>
              </w:tblBorders>
              <w:tblLook w:val="0000" w:firstRow="0" w:lastRow="0" w:firstColumn="0" w:lastColumn="0" w:noHBand="0" w:noVBand="0"/>
            </w:tblPr>
            <w:tblGrid>
              <w:gridCol w:w="15367"/>
            </w:tblGrid>
            <w:tr w:rsidR="009A501A" w:rsidRPr="009A501A">
              <w:tblPrEx>
                <w:tblCellMar>
                  <w:top w:w="0" w:type="dxa"/>
                  <w:bottom w:w="0" w:type="dxa"/>
                </w:tblCellMar>
              </w:tblPrEx>
              <w:trPr>
                <w:trHeight w:val="104"/>
              </w:trPr>
              <w:tc>
                <w:tcPr>
                  <w:tcW w:w="0" w:type="auto"/>
                </w:tcPr>
                <w:p w:rsidR="009A501A" w:rsidRDefault="009A501A" w:rsidP="009A501A">
                  <w:pPr>
                    <w:autoSpaceDE w:val="0"/>
                    <w:autoSpaceDN w:val="0"/>
                    <w:adjustRightInd w:val="0"/>
                    <w:spacing w:after="80" w:line="241" w:lineRule="atLeast"/>
                    <w:rPr>
                      <w:rFonts w:ascii="MPQAV Y+ Arial MT" w:eastAsiaTheme="minorHAnsi" w:hAnsi="MPQAV Y+ Arial MT" w:cs="MPQAV Y+ Arial MT"/>
                      <w:color w:val="FFFFFF" w:themeColor="background1"/>
                      <w:sz w:val="44"/>
                      <w:szCs w:val="18"/>
                      <w:lang w:eastAsia="en-US"/>
                    </w:rPr>
                  </w:pPr>
                  <w:r w:rsidRPr="009A501A">
                    <w:rPr>
                      <w:rFonts w:ascii="MPQAV Y+ Arial MT" w:eastAsiaTheme="minorHAnsi" w:hAnsi="MPQAV Y+ Arial MT" w:cs="MPQAV Y+ Arial MT"/>
                      <w:color w:val="FFFFFF" w:themeColor="background1"/>
                      <w:sz w:val="44"/>
                      <w:szCs w:val="18"/>
                      <w:lang w:eastAsia="en-US"/>
                    </w:rPr>
                    <w:t xml:space="preserve">Kind, Gentle, Friend, </w:t>
                  </w:r>
                  <w:proofErr w:type="gramStart"/>
                  <w:r w:rsidRPr="009A501A">
                    <w:rPr>
                      <w:rFonts w:ascii="MPQAV Y+ Arial MT" w:eastAsiaTheme="minorHAnsi" w:hAnsi="MPQAV Y+ Arial MT" w:cs="MPQAV Y+ Arial MT"/>
                      <w:color w:val="FFFFFF" w:themeColor="background1"/>
                      <w:sz w:val="44"/>
                      <w:szCs w:val="18"/>
                      <w:lang w:eastAsia="en-US"/>
                    </w:rPr>
                    <w:t>Similar(</w:t>
                  </w:r>
                  <w:proofErr w:type="spellStart"/>
                  <w:proofErr w:type="gramEnd"/>
                  <w:r w:rsidRPr="009A501A">
                    <w:rPr>
                      <w:rFonts w:ascii="MPQAV Y+ Arial MT" w:eastAsiaTheme="minorHAnsi" w:hAnsi="MPQAV Y+ Arial MT" w:cs="MPQAV Y+ Arial MT"/>
                      <w:color w:val="FFFFFF" w:themeColor="background1"/>
                      <w:sz w:val="44"/>
                      <w:szCs w:val="18"/>
                      <w:lang w:eastAsia="en-US"/>
                    </w:rPr>
                    <w:t>ity</w:t>
                  </w:r>
                  <w:proofErr w:type="spellEnd"/>
                  <w:r w:rsidRPr="009A501A">
                    <w:rPr>
                      <w:rFonts w:ascii="MPQAV Y+ Arial MT" w:eastAsiaTheme="minorHAnsi" w:hAnsi="MPQAV Y+ Arial MT" w:cs="MPQAV Y+ Arial MT"/>
                      <w:color w:val="FFFFFF" w:themeColor="background1"/>
                      <w:sz w:val="44"/>
                      <w:szCs w:val="18"/>
                      <w:lang w:eastAsia="en-US"/>
                    </w:rPr>
                    <w:t xml:space="preserve">), Different, Rights, Responsibilities, Feelings, Angry, Happy, Excited, Nervous, Sharing, Taking Turns. </w:t>
                  </w:r>
                </w:p>
                <w:p w:rsidR="009A501A" w:rsidRPr="009A501A" w:rsidRDefault="009A501A" w:rsidP="009A501A">
                  <w:pPr>
                    <w:autoSpaceDE w:val="0"/>
                    <w:autoSpaceDN w:val="0"/>
                    <w:adjustRightInd w:val="0"/>
                    <w:spacing w:after="80" w:line="241" w:lineRule="atLeast"/>
                    <w:rPr>
                      <w:rFonts w:ascii="MPQAV Y+ Arial MT" w:eastAsiaTheme="minorHAnsi" w:hAnsi="MPQAV Y+ Arial MT" w:cs="MPQAV Y+ Arial MT"/>
                      <w:color w:val="FFFFFF" w:themeColor="background1"/>
                      <w:sz w:val="44"/>
                      <w:szCs w:val="18"/>
                      <w:lang w:eastAsia="en-US"/>
                    </w:rPr>
                  </w:pPr>
                </w:p>
              </w:tc>
            </w:tr>
          </w:tbl>
          <w:p w:rsidR="009A501A" w:rsidRPr="0086332D" w:rsidRDefault="009A501A" w:rsidP="00334BE6">
            <w:pPr>
              <w:rPr>
                <w:noProof/>
                <w:color w:val="FFFFFF" w:themeColor="background1"/>
                <w:sz w:val="72"/>
              </w:rPr>
            </w:pPr>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PQAV Y+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1337"/>
    <w:multiLevelType w:val="hybridMultilevel"/>
    <w:tmpl w:val="B2F6168E"/>
    <w:lvl w:ilvl="0" w:tplc="08090001">
      <w:start w:val="1"/>
      <w:numFmt w:val="bullet"/>
      <w:lvlText w:val=""/>
      <w:lvlJc w:val="left"/>
      <w:pPr>
        <w:ind w:left="560" w:hanging="360"/>
      </w:pPr>
      <w:rPr>
        <w:rFonts w:ascii="Symbol" w:hAnsi="Symbol" w:hint="default"/>
      </w:rPr>
    </w:lvl>
    <w:lvl w:ilvl="1" w:tplc="8CAAFD84">
      <w:numFmt w:val="bullet"/>
      <w:lvlText w:val="•"/>
      <w:lvlJc w:val="left"/>
      <w:pPr>
        <w:ind w:left="1280" w:hanging="360"/>
      </w:pPr>
      <w:rPr>
        <w:rFonts w:ascii="Arial" w:eastAsiaTheme="minorHAnsi" w:hAnsi="Arial" w:cs="Arial"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9"/>
  </w:num>
  <w:num w:numId="6">
    <w:abstractNumId w:val="1"/>
  </w:num>
  <w:num w:numId="7">
    <w:abstractNumId w:val="7"/>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8D3D6E"/>
    <w:rsid w:val="009008A5"/>
    <w:rsid w:val="009A46C0"/>
    <w:rsid w:val="009A501A"/>
    <w:rsid w:val="00A84DF2"/>
    <w:rsid w:val="00AA77A1"/>
    <w:rsid w:val="00BD6628"/>
    <w:rsid w:val="00BE4FB7"/>
    <w:rsid w:val="00C1644D"/>
    <w:rsid w:val="00D214D9"/>
    <w:rsid w:val="00D46E94"/>
    <w:rsid w:val="00EC7600"/>
    <w:rsid w:val="00F03626"/>
    <w:rsid w:val="00F27F95"/>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D72"/>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character" w:customStyle="1" w:styleId="A1">
    <w:name w:val="A1"/>
    <w:uiPriority w:val="99"/>
    <w:rsid w:val="009A501A"/>
    <w:rPr>
      <w:rFonts w:cs="MPQAV Y+ Arial MT"/>
      <w:color w:val="000000"/>
      <w:sz w:val="18"/>
      <w:szCs w:val="18"/>
    </w:rPr>
  </w:style>
  <w:style w:type="paragraph" w:customStyle="1" w:styleId="Pa3">
    <w:name w:val="Pa3"/>
    <w:basedOn w:val="Default"/>
    <w:next w:val="Default"/>
    <w:uiPriority w:val="99"/>
    <w:rsid w:val="009A501A"/>
    <w:pPr>
      <w:spacing w:line="241" w:lineRule="atLeast"/>
    </w:pPr>
    <w:rPr>
      <w:rFonts w:ascii="MPQAV Y+ Arial MT" w:hAnsi="MPQAV Y+ Arial 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2021-08-26T16:34:00Z</dcterms:created>
  <dcterms:modified xsi:type="dcterms:W3CDTF">2021-08-26T16:34:00Z</dcterms:modified>
</cp:coreProperties>
</file>